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Theme="minorEastAsia"/>
          <w:color w:val="000000" w:themeColor="text1"/>
          <w:spacing w:val="-1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eastAsia="方正小标宋简体" w:hAnsiTheme="minorEastAsia"/>
          <w:color w:val="000000" w:themeColor="text1"/>
          <w:spacing w:val="-14"/>
          <w:sz w:val="44"/>
          <w:szCs w:val="44"/>
          <w14:textFill>
            <w14:solidFill>
              <w14:schemeClr w14:val="tx1"/>
            </w14:solidFill>
          </w14:textFill>
        </w:rPr>
        <w:t>做好202</w:t>
      </w:r>
      <w:r>
        <w:rPr>
          <w:rFonts w:hint="eastAsia" w:ascii="方正小标宋简体" w:eastAsia="方正小标宋简体" w:hAnsiTheme="minorEastAsia"/>
          <w:color w:val="000000" w:themeColor="text1"/>
          <w:spacing w:val="-1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 w:hAnsiTheme="minorEastAsia"/>
          <w:color w:val="000000" w:themeColor="text1"/>
          <w:spacing w:val="-14"/>
          <w:sz w:val="44"/>
          <w:szCs w:val="44"/>
          <w14:textFill>
            <w14:solidFill>
              <w14:schemeClr w14:val="tx1"/>
            </w14:solidFill>
          </w14:textFill>
        </w:rPr>
        <w:t>年人才培养状态数据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pacing w:val="-14"/>
          <w:sz w:val="44"/>
          <w:szCs w:val="44"/>
          <w14:textFill>
            <w14:solidFill>
              <w14:schemeClr w14:val="tx1"/>
            </w14:solidFill>
          </w14:textFill>
        </w:rPr>
        <w:t>采集</w:t>
      </w: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工作的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>
      <w:pPr>
        <w:spacing w:line="2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根据教育部职业教育与成人教育司《关于做好职业教育20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学年信息数据采集工作的通知》要求，现启动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年人才培养状态数据采集工作。本次状态数据采集时段为20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年9月1日至202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年8月31日（财务数据采集时段为2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年自然年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）。为做好20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年数据采集工作，现将有关事项通知如下：</w:t>
      </w: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工作任务及时间安排</w:t>
      </w:r>
    </w:p>
    <w:p>
      <w:pPr>
        <w:spacing w:line="580" w:lineRule="exact"/>
        <w:jc w:val="center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表1 工作任务及时间安排表</w:t>
      </w:r>
    </w:p>
    <w:tbl>
      <w:tblPr>
        <w:tblStyle w:val="4"/>
        <w:tblpPr w:leftFromText="180" w:rightFromText="180" w:vertAnchor="text" w:horzAnchor="page" w:tblpX="1765" w:tblpY="91"/>
        <w:tblOverlap w:val="never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420"/>
        <w:gridCol w:w="1597"/>
        <w:gridCol w:w="1232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任务编号</w:t>
            </w:r>
          </w:p>
        </w:tc>
        <w:tc>
          <w:tcPr>
            <w:tcW w:w="3420" w:type="dxa"/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0" w:type="dxa"/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数据管理平台的系统运营及维护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（实训中心）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0" w:type="dxa"/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五个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源数据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表的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采集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梳理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务部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21日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20个基础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表的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采集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与审核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65个专项数据表的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采集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与审核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9月27日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20" w:type="dxa"/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传、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校验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数据上报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</w:tr>
    </w:tbl>
    <w:p>
      <w:pPr>
        <w:pStyle w:val="9"/>
        <w:spacing w:line="240" w:lineRule="exact"/>
        <w:ind w:firstLine="0" w:firstLineChars="0"/>
        <w:rPr>
          <w:rFonts w:asci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状态数据采集任务分工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表2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数据平台采集任务分解表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17"/>
        <w:gridCol w:w="2028"/>
        <w:gridCol w:w="1585"/>
        <w:gridCol w:w="1347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采集步骤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数据采集表格名称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数据采集的部门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数据采集截止时间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1基础数据表（20）</w:t>
            </w: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1.1学校（7）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1.1.1学校概况表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 联系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内设机构表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占地面积、校舍建筑面积表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教学仪器设备表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1.1.6馆藏图书资料表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1.1.7学校获奖信息表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1.2专业（3）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1.2.1开设专业表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1.2.2专业群设置表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1.2.3专业变动表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1.3课程（2）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1.3.1高职课程设置表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1.3.2附设中职班课程设置表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1.4教师（2）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.4.1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校内教师基本信息表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.4.2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校外兼职教师基本信息表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1.5学生（5）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1.5.1全日制高职在校生信息表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1.5.2附设中职班在校生信息表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1.5.3在校生数量表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1.5.4 9月份入学高职新生基本信息表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1.5.5 9月份入学附设中职班新生基本信息表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1.6企业（1）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1.6.1企业数据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2专项数据表（65）</w:t>
            </w: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2.1教学运行(2)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2.1.1授课表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2.1.2附设中职班授课表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2.2实习管理（2）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2.1.1高职学生实习管理表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2.2.2附设中职班学生实习管理表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2.3教材（2）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2.3.1教材建设表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2.3.2教材选用表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2.4招生（5）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2.4.1高职普通高考招生表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2.4.2高职职教高考招生表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2.4.3高职分生源招生表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2.4.4高职分层次招生表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2.4.5附设中职班招生信息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2.5就业（3）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应届毕业生毕业去向落实情况表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2.5.2 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上届毕业生年终就业表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2.5.3 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附设中职班就业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2.6校企合作（3）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2.6.1校企合作表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2.6.2牵头组建职教集团表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2.6.3职业院校混合所有制办学统计表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2.7学徒制人才培养（1）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2.7.1学徒制人才培养表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2.8校企互动（2）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2.8.1书记校长走访信息表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2.8.2企业家进校园表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2.9实践基地（5）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2.9.1校内实践教学场所表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2.9.2省级以上实训基地表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2.9.3校外实践基地表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产教融合与就业创业办公室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2.9.4世赛基地表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2.9.5大型仪器设备使用表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2.10信息化情况（1）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2.10.1信息化情况表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教务部（实训中心）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教务部（实训中心）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2.11财务数据（4）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2.11.1学校经费总收入表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2.11.2学校其他收入情况表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2.11.3学校经费总支出表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2.11.4学校其他经费支出表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2.12国际合作交流（7）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2.12.1职业院校“引进来”——开设的中外合作办学机构情况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2.12.2职业院校“引进来”——开设的中外合作办学项目情况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2.12.3职业院校“引进来”——接收国（境）外留学生来华留学情况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2.12.4职业院校“走出去”情况统计表——开发并被国（境）外采用的课程标准表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2.12.5职业院校“走出去”情况统计表——开发并被国（境）外采用的专业教学标准表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2.12.6职业院校“走出去”情况统计表——开发并被国（境）外采用教材情况表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2.12.7 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职业院校“走出去”情况统计——国（境）外办学情况表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2.13学生奖助情况（2）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2.13.1学生获奖表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2.13.2奖助学表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2.14学生社团（1）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2.14.1学生社团表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2.15师资队伍建设（11）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2.15.1高水平教学创新团队、技能大师工作室表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2.15.2校内教师教科研业绩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2.15.3 培训进修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2.15.4 挂职锻炼（顶岗实践）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2.15.5 社会兼职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2.15.6 获奖项目（包括行政性奖励）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政务部（人事）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2.15.7 获得授权知识产权项目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2.15.8 当年立项课题情况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2.15.9 当年结项课题情况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2.15.10 公开出版著作与公开发表论文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2.15.11 企业、行业一线工作时长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2.16职业资格和技能等级证书（4）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2.16.1职业资格证书获取表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2.16.2职业技能等级证书获取表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2.16.3 职业技能等级证书（X证书）获取情况表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2.16.4 社会人员职业证书获取表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各院系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2.17宣传舆情（2）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2.17.1学校宣传表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2.17.2职教活动周表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2.18思政教育（7）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2.18.1 专职辅导员与专职思政课教师队伍配备情况表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2.18.2 班主任队伍配备情况表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五专部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2.18.3 心理健康师资表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2.18.4 安全管理表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保卫处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保卫处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2.18.5 育人活动开展情况表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2.18.6 专题教育（德育）开展情况表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2.18.7 《习近平新时代中国特色社会主义思想学生读本》使用情况表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2.19培训信息（1）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2.19.1培训信息表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三、工作流程</w:t>
      </w:r>
    </w:p>
    <w:p>
      <w:pPr>
        <w:spacing w:line="580" w:lineRule="exact"/>
        <w:ind w:firstLine="630" w:firstLineChars="196"/>
        <w:jc w:val="left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第一阶段（工作方案制定）（9月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完成工作方案制定与系统设置；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教务部（实训中心）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完成服务器架设和网络环境调试，保证数据采集的基本工作条件；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各部门确定本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的数据采集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bookmarkStart w:id="0" w:name="_Hlk52030146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已报送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30" w:firstLineChars="196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第二阶段（源数据采集）（9月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日至9月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58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表3源数据采集分工一览表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数据表名称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0.1.1新增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专业基础信息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0.1.2高职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课程设置基础信息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0.1.3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校内教师基础信息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政务部（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0.1.4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校外兼职教师基础信息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政务部（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0.1.5高职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在校生基础信息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4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务部</w:t>
            </w:r>
          </w:p>
        </w:tc>
      </w:tr>
    </w:tbl>
    <w:p>
      <w:pPr>
        <w:spacing w:line="580" w:lineRule="exact"/>
        <w:ind w:firstLine="643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表与专项数据表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填报）（9月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按照状态数据采集任务分工，各单位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登录http://192.168.200.100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进行相应数据表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，数据审核部门做好相应数据的审核。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登录帐号为个人的教工号，初始密码为：姓氏拼音首字母大写+拼音+@+教工号，如：张三 1111，密码为Zhang@1111。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具体填报和审核分工见表2“数据平台采集任务分解表”。</w:t>
      </w:r>
    </w:p>
    <w:p>
      <w:pPr>
        <w:spacing w:line="580" w:lineRule="exact"/>
        <w:ind w:firstLine="630" w:firstLineChars="196"/>
        <w:jc w:val="left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第四阶段（数据调整上报）（10月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日至1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月30日）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日前，质量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进行全院数据汇总、校验、分析、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反馈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质量部将核心数据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领导审核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，质量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完成数据上报。</w:t>
      </w:r>
    </w:p>
    <w:p>
      <w:pPr>
        <w:spacing w:line="58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1.人才培养工作状态数据作为我校“双高”建设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和《达标工程》建设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数据支撑和成效展现，各部门要充分认识工作的重要性和严肃性，高度重视，加强领导，认真组织相关人员研究数据项内涵，把握要点，细致准确地做好数据采集工作。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2.各部门负责人为本单位数据采集与管理工作的第一责任人，对本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填报数据的及时性、准确性、有效性和完整性负责。在数据采集过程中，将按照时间节点及阶段性工作内容，在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微信工作群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内通报各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的工作进度及工作质量。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3.本年度数据采集采用网络版填报。数据采集员要按照状态数据采集与管理系统字段定义规范填报，确保数据的规范性。数据采集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必须掌握数据填报规则和字段定义，对填报数据的真实性、规范性和准确性负责。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负责人负责对相应数据表中各项数据的采集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进行指导并审核其填报的数据，保证表中数据的关联一致性和完整性。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4.涉及跨部门的数据采集时，由部门负责人协调数据产生的源头单位填报，数据产生源头单位要予以配合，不得推诿，并对填写的数据负责。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5.在数据采集过程中，要保持与高基报表数据的一致性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重源数据的深度挖掘和全覆盖，注重往年与今年数据的关联和衔接，注重提炼关于教学改革、学生发展、校企合作、创新创业、技能大赛、社会服务、国际交流等方面的典型案例，为下一步教育部上报质量年度报告做准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6.状态数据采集填报涉及到各个部门，特别是教务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各院系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的工作较为繁重。要求每个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部门的采集员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高度重视，各司其职，确保数据的高效采集。</w:t>
      </w:r>
    </w:p>
    <w:p>
      <w:pPr>
        <w:spacing w:line="58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五、联系方式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数据采集的日常管理工作由质量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具体负责，相关问题请与质量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刘雪宁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15003808739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0" w:firstLineChars="20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质量部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85113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9332265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4F255"/>
    <w:multiLevelType w:val="singleLevel"/>
    <w:tmpl w:val="89A4F2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DcyMWFlNGU0OGRiNmYzMTFiZjk0NjYwYzc3N2QifQ=="/>
  </w:docVars>
  <w:rsids>
    <w:rsidRoot w:val="006E74F3"/>
    <w:rsid w:val="001A5628"/>
    <w:rsid w:val="001B4064"/>
    <w:rsid w:val="001F6E32"/>
    <w:rsid w:val="0025096C"/>
    <w:rsid w:val="00321506"/>
    <w:rsid w:val="00344956"/>
    <w:rsid w:val="00362E33"/>
    <w:rsid w:val="003F016E"/>
    <w:rsid w:val="00421406"/>
    <w:rsid w:val="00424358"/>
    <w:rsid w:val="0052182F"/>
    <w:rsid w:val="006C61C3"/>
    <w:rsid w:val="006E74F3"/>
    <w:rsid w:val="007049B0"/>
    <w:rsid w:val="00715AB4"/>
    <w:rsid w:val="007244ED"/>
    <w:rsid w:val="007A68A3"/>
    <w:rsid w:val="007F494B"/>
    <w:rsid w:val="0080680C"/>
    <w:rsid w:val="0088107C"/>
    <w:rsid w:val="0090664E"/>
    <w:rsid w:val="0094571E"/>
    <w:rsid w:val="0098311E"/>
    <w:rsid w:val="00A87630"/>
    <w:rsid w:val="00B32DC0"/>
    <w:rsid w:val="00B45BBA"/>
    <w:rsid w:val="00BE62D0"/>
    <w:rsid w:val="00CD3C88"/>
    <w:rsid w:val="00D4127C"/>
    <w:rsid w:val="00E0119F"/>
    <w:rsid w:val="00E01B15"/>
    <w:rsid w:val="00E341B3"/>
    <w:rsid w:val="00E40F77"/>
    <w:rsid w:val="00E95932"/>
    <w:rsid w:val="00ED167B"/>
    <w:rsid w:val="00EF40CC"/>
    <w:rsid w:val="00F508A1"/>
    <w:rsid w:val="00FA44CC"/>
    <w:rsid w:val="026C2D15"/>
    <w:rsid w:val="02DD2744"/>
    <w:rsid w:val="0B4E0476"/>
    <w:rsid w:val="0BF06F19"/>
    <w:rsid w:val="0CDB2762"/>
    <w:rsid w:val="0E295D6F"/>
    <w:rsid w:val="0F3D2392"/>
    <w:rsid w:val="11A94585"/>
    <w:rsid w:val="122B4622"/>
    <w:rsid w:val="182844DD"/>
    <w:rsid w:val="18A02827"/>
    <w:rsid w:val="1B0C2665"/>
    <w:rsid w:val="1B6B436F"/>
    <w:rsid w:val="21A72AE1"/>
    <w:rsid w:val="24A64E3C"/>
    <w:rsid w:val="264451E6"/>
    <w:rsid w:val="285E34F8"/>
    <w:rsid w:val="2C32240E"/>
    <w:rsid w:val="30760501"/>
    <w:rsid w:val="31F44517"/>
    <w:rsid w:val="33DA52CA"/>
    <w:rsid w:val="346314E0"/>
    <w:rsid w:val="34A5465C"/>
    <w:rsid w:val="3C023B09"/>
    <w:rsid w:val="3C8B35AC"/>
    <w:rsid w:val="3E3E4C16"/>
    <w:rsid w:val="3F5A424E"/>
    <w:rsid w:val="3FD14DDE"/>
    <w:rsid w:val="40F411AB"/>
    <w:rsid w:val="418E2758"/>
    <w:rsid w:val="43CD4BC8"/>
    <w:rsid w:val="4BE629DE"/>
    <w:rsid w:val="4C301FD2"/>
    <w:rsid w:val="4F090822"/>
    <w:rsid w:val="54F533FA"/>
    <w:rsid w:val="56245380"/>
    <w:rsid w:val="582137BE"/>
    <w:rsid w:val="5CF81824"/>
    <w:rsid w:val="61783CBD"/>
    <w:rsid w:val="63265DC3"/>
    <w:rsid w:val="66332254"/>
    <w:rsid w:val="66676359"/>
    <w:rsid w:val="66EF2C51"/>
    <w:rsid w:val="6850617D"/>
    <w:rsid w:val="69447725"/>
    <w:rsid w:val="6D45126E"/>
    <w:rsid w:val="6EBD60AF"/>
    <w:rsid w:val="6FA63A0C"/>
    <w:rsid w:val="70960B3D"/>
    <w:rsid w:val="764E52BC"/>
    <w:rsid w:val="79B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3776</Words>
  <Characters>4574</Characters>
  <Lines>31</Lines>
  <Paragraphs>8</Paragraphs>
  <TotalTime>17</TotalTime>
  <ScaleCrop>false</ScaleCrop>
  <LinksUpToDate>false</LinksUpToDate>
  <CharactersWithSpaces>4636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2022-09-12T07:38:00Z</dcterms:created>
  <dc:creator>时军艳</dc:creator>
  <cp:lastModifiedBy>皓雪 จุ๊บ</cp:lastModifiedBy>
  <cp:lastPrinted>2023-09-22T03:27:00Z</cp:lastPrinted>
  <dcterms:modified xsi:type="dcterms:W3CDTF">2023-09-23T03:34:50Z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76324120D36F4A6EB275113280E360D1_13</vt:lpwstr>
  </property>
</Properties>
</file>